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DC" w:rsidRPr="00961586" w:rsidRDefault="00430658" w:rsidP="00961586">
      <w:pPr>
        <w:pStyle w:val="a3"/>
        <w:spacing w:after="0" w:line="216" w:lineRule="auto"/>
        <w:jc w:val="center"/>
        <w:rPr>
          <w:b/>
          <w:color w:val="7030A0"/>
          <w:sz w:val="52"/>
          <w:szCs w:val="52"/>
        </w:rPr>
      </w:pPr>
      <w:r w:rsidRPr="00961586">
        <w:rPr>
          <w:b/>
          <w:color w:val="7030A0"/>
          <w:sz w:val="52"/>
          <w:szCs w:val="52"/>
        </w:rPr>
        <w:t>Безопас</w:t>
      </w:r>
      <w:r w:rsidR="00961586" w:rsidRPr="00961586">
        <w:rPr>
          <w:b/>
          <w:color w:val="7030A0"/>
          <w:sz w:val="52"/>
          <w:szCs w:val="52"/>
        </w:rPr>
        <w:t>ность детского отдыха в лагере</w:t>
      </w:r>
    </w:p>
    <w:p w:rsidR="00FB6759" w:rsidRPr="002D5DBE" w:rsidRDefault="00FB6759" w:rsidP="00BE6AE5">
      <w:pPr>
        <w:pStyle w:val="a3"/>
        <w:spacing w:after="0" w:line="120" w:lineRule="auto"/>
        <w:ind w:firstLine="709"/>
        <w:rPr>
          <w:b/>
          <w:sz w:val="32"/>
          <w:szCs w:val="32"/>
        </w:rPr>
      </w:pPr>
    </w:p>
    <w:p w:rsidR="007034B9" w:rsidRPr="002D5DBE" w:rsidRDefault="00BE6AE5" w:rsidP="00BE6AE5">
      <w:pPr>
        <w:pStyle w:val="a4"/>
        <w:spacing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5C54">
        <w:rPr>
          <w:rFonts w:ascii="Arial" w:eastAsia="Calibri" w:hAnsi="Arial" w:cs="Arial"/>
          <w:noProof/>
          <w:color w:val="0000FF"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92710</wp:posOffset>
            </wp:positionH>
            <wp:positionV relativeFrom="margin">
              <wp:posOffset>373380</wp:posOffset>
            </wp:positionV>
            <wp:extent cx="2638425" cy="1762760"/>
            <wp:effectExtent l="0" t="0" r="0" b="0"/>
            <wp:wrapSquare wrapText="bothSides"/>
            <wp:docPr id="1" name="Рисунок 1" descr="https://im0-tub-ru.yandex.net/i?id=e24a3509a4a85fb632acf9ba2317c505&amp;n=33&amp;h=190&amp;w=28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24a3509a4a85fb632acf9ba2317c505&amp;n=33&amp;h=190&amp;w=28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837" w:rsidRPr="002D5DBE">
        <w:rPr>
          <w:rFonts w:ascii="Times New Roman" w:hAnsi="Times New Roman" w:cs="Times New Roman"/>
          <w:b/>
          <w:sz w:val="32"/>
          <w:szCs w:val="32"/>
        </w:rPr>
        <w:t>Отношения по оказанию услуг</w:t>
      </w:r>
      <w:r w:rsidR="007034B9"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02D55">
        <w:rPr>
          <w:rFonts w:ascii="Times New Roman" w:eastAsia="Times New Roman" w:hAnsi="Times New Roman" w:cs="Times New Roman"/>
          <w:b/>
          <w:sz w:val="32"/>
          <w:szCs w:val="32"/>
        </w:rPr>
        <w:t xml:space="preserve">организации </w:t>
      </w:r>
      <w:r w:rsidR="007034B9"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отдыха детей в </w:t>
      </w:r>
      <w:r w:rsidR="00102D55">
        <w:rPr>
          <w:rFonts w:ascii="Times New Roman" w:eastAsia="Times New Roman" w:hAnsi="Times New Roman" w:cs="Times New Roman"/>
          <w:b/>
          <w:sz w:val="32"/>
          <w:szCs w:val="32"/>
        </w:rPr>
        <w:t xml:space="preserve">летнем </w:t>
      </w:r>
      <w:r w:rsidR="00E95837" w:rsidRPr="002D5DBE">
        <w:rPr>
          <w:rFonts w:ascii="Times New Roman" w:hAnsi="Times New Roman" w:cs="Times New Roman"/>
          <w:b/>
          <w:sz w:val="32"/>
          <w:szCs w:val="32"/>
        </w:rPr>
        <w:t xml:space="preserve"> оздоровительном </w:t>
      </w:r>
      <w:r w:rsidR="00E95837" w:rsidRPr="002D5DBE">
        <w:rPr>
          <w:rFonts w:ascii="Times New Roman" w:eastAsia="Times New Roman" w:hAnsi="Times New Roman" w:cs="Times New Roman"/>
          <w:b/>
          <w:sz w:val="32"/>
          <w:szCs w:val="32"/>
        </w:rPr>
        <w:t>лагере регулирую</w:t>
      </w:r>
      <w:r w:rsidR="007034B9" w:rsidRPr="002D5DBE">
        <w:rPr>
          <w:rFonts w:ascii="Times New Roman" w:eastAsia="Times New Roman" w:hAnsi="Times New Roman" w:cs="Times New Roman"/>
          <w:b/>
          <w:sz w:val="32"/>
          <w:szCs w:val="32"/>
        </w:rPr>
        <w:t>тся законодательством о защите прав потребителей, а значит, родители ребенка и сам ребенок являются потребителями соответствующих услуг: родители - как лица, приобретающие или имеющие намерение приобрести услуги, дети - как лица, пользующиеся услугами.</w:t>
      </w:r>
      <w:r w:rsidR="007034B9" w:rsidRPr="002D5DB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 </w:t>
      </w:r>
      <w:r w:rsidR="00102D55">
        <w:rPr>
          <w:rFonts w:ascii="Times New Roman" w:eastAsia="Times New Roman" w:hAnsi="Times New Roman" w:cs="Times New Roman"/>
          <w:b/>
          <w:sz w:val="32"/>
          <w:szCs w:val="32"/>
        </w:rPr>
        <w:t>Летний</w:t>
      </w:r>
      <w:r w:rsidR="008A0F06" w:rsidRPr="002D5DBE">
        <w:rPr>
          <w:rFonts w:ascii="Times New Roman" w:hAnsi="Times New Roman" w:cs="Times New Roman"/>
          <w:b/>
          <w:sz w:val="32"/>
          <w:szCs w:val="32"/>
        </w:rPr>
        <w:t xml:space="preserve"> оздоровительный лагерь</w:t>
      </w:r>
      <w:r w:rsidR="007034B9"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 оказывает ребенку комплекс услуг (размещение, проживание, питание, организация досуга, занятия физкультурой и спортом и т.п.), включенных в стоимость путевки, а значит, является исполнителем данной услуги.</w:t>
      </w:r>
      <w:r w:rsidR="007034B9" w:rsidRPr="002D5DB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 </w:t>
      </w:r>
    </w:p>
    <w:p w:rsidR="00D24641" w:rsidRPr="002D5DBE" w:rsidRDefault="00BF1EBB" w:rsidP="00BE6AE5">
      <w:pPr>
        <w:pStyle w:val="a3"/>
        <w:spacing w:after="0" w:line="216" w:lineRule="auto"/>
        <w:ind w:firstLine="567"/>
        <w:rPr>
          <w:b/>
          <w:sz w:val="32"/>
          <w:szCs w:val="32"/>
        </w:rPr>
      </w:pPr>
      <w:r w:rsidRPr="002D5DBE">
        <w:rPr>
          <w:b/>
          <w:sz w:val="32"/>
          <w:szCs w:val="32"/>
        </w:rPr>
        <w:t xml:space="preserve">В соответствии с </w:t>
      </w:r>
      <w:r w:rsidR="00572CDA" w:rsidRPr="002D5DBE">
        <w:rPr>
          <w:b/>
          <w:sz w:val="32"/>
          <w:szCs w:val="32"/>
        </w:rPr>
        <w:t>п.1 ст.7 Закона</w:t>
      </w:r>
      <w:r w:rsidR="005E71C7" w:rsidRPr="002D5DBE">
        <w:rPr>
          <w:b/>
          <w:sz w:val="32"/>
          <w:szCs w:val="32"/>
        </w:rPr>
        <w:t xml:space="preserve"> Российской Федерации</w:t>
      </w:r>
      <w:r w:rsidR="00D24641" w:rsidRPr="002D5DBE">
        <w:rPr>
          <w:b/>
          <w:sz w:val="32"/>
          <w:szCs w:val="32"/>
        </w:rPr>
        <w:t xml:space="preserve"> «О защите прав потребителей» </w:t>
      </w:r>
      <w:r w:rsidR="005E71C7" w:rsidRPr="002D5DBE">
        <w:rPr>
          <w:b/>
          <w:sz w:val="32"/>
          <w:szCs w:val="32"/>
        </w:rPr>
        <w:t>потребитель</w:t>
      </w:r>
      <w:r w:rsidR="00D24641" w:rsidRPr="002D5DBE">
        <w:rPr>
          <w:b/>
          <w:sz w:val="32"/>
          <w:szCs w:val="32"/>
        </w:rPr>
        <w:t xml:space="preserve"> имеет право на </w:t>
      </w:r>
      <w:r w:rsidR="00572CDA" w:rsidRPr="002D5DBE">
        <w:rPr>
          <w:b/>
          <w:sz w:val="32"/>
          <w:szCs w:val="32"/>
        </w:rPr>
        <w:t>то, чтобы услуга при  обычных условиях ее</w:t>
      </w:r>
      <w:r w:rsidR="00D24641" w:rsidRPr="002D5DBE">
        <w:rPr>
          <w:b/>
          <w:sz w:val="32"/>
          <w:szCs w:val="32"/>
        </w:rPr>
        <w:t xml:space="preserve"> использования </w:t>
      </w:r>
      <w:r w:rsidR="00572CDA" w:rsidRPr="002D5DBE">
        <w:rPr>
          <w:b/>
          <w:sz w:val="32"/>
          <w:szCs w:val="32"/>
        </w:rPr>
        <w:t xml:space="preserve">была безопасна для жизни и </w:t>
      </w:r>
      <w:r w:rsidR="00D24641" w:rsidRPr="002D5DBE">
        <w:rPr>
          <w:b/>
          <w:sz w:val="32"/>
          <w:szCs w:val="32"/>
        </w:rPr>
        <w:t>здоровья</w:t>
      </w:r>
      <w:r w:rsidR="00572CDA" w:rsidRPr="002D5DBE">
        <w:rPr>
          <w:b/>
          <w:sz w:val="32"/>
          <w:szCs w:val="32"/>
        </w:rPr>
        <w:t xml:space="preserve"> ребенка.</w:t>
      </w:r>
      <w:r w:rsidR="00D24641" w:rsidRPr="002D5DBE">
        <w:rPr>
          <w:b/>
          <w:sz w:val="32"/>
          <w:szCs w:val="32"/>
        </w:rPr>
        <w:t xml:space="preserve"> Требования, обеспечивающие безопасность услуг</w:t>
      </w:r>
      <w:r w:rsidR="00601898" w:rsidRPr="002D5DBE">
        <w:rPr>
          <w:b/>
          <w:sz w:val="32"/>
          <w:szCs w:val="32"/>
        </w:rPr>
        <w:t>,</w:t>
      </w:r>
      <w:r w:rsidR="00102D55">
        <w:rPr>
          <w:b/>
          <w:sz w:val="32"/>
          <w:szCs w:val="32"/>
        </w:rPr>
        <w:t xml:space="preserve"> </w:t>
      </w:r>
      <w:r w:rsidR="00D24641" w:rsidRPr="002D5DBE">
        <w:rPr>
          <w:b/>
          <w:sz w:val="32"/>
          <w:szCs w:val="32"/>
        </w:rPr>
        <w:t>устанавливаются законами и являются обязательными для исполнения.</w:t>
      </w:r>
    </w:p>
    <w:p w:rsidR="00D24641" w:rsidRPr="002D5DBE" w:rsidRDefault="00D24641" w:rsidP="00BE6AE5">
      <w:pPr>
        <w:shd w:val="clear" w:color="auto" w:fill="FFFFFF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5DBE">
        <w:rPr>
          <w:rFonts w:ascii="Times New Roman" w:hAnsi="Times New Roman" w:cs="Times New Roman"/>
          <w:b/>
          <w:sz w:val="32"/>
          <w:szCs w:val="32"/>
        </w:rPr>
        <w:t xml:space="preserve">Так, </w:t>
      </w:r>
      <w:r w:rsidR="000F5AA2" w:rsidRPr="002D5DBE">
        <w:rPr>
          <w:rFonts w:ascii="Times New Roman" w:hAnsi="Times New Roman" w:cs="Times New Roman"/>
          <w:b/>
          <w:sz w:val="32"/>
          <w:szCs w:val="32"/>
        </w:rPr>
        <w:t xml:space="preserve">согласно ст. </w:t>
      </w:r>
      <w:r w:rsidRPr="002D5DBE">
        <w:rPr>
          <w:rFonts w:ascii="Times New Roman" w:hAnsi="Times New Roman" w:cs="Times New Roman"/>
          <w:b/>
          <w:sz w:val="32"/>
          <w:szCs w:val="32"/>
        </w:rPr>
        <w:t xml:space="preserve">12 </w:t>
      </w: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>Ф</w:t>
      </w:r>
      <w:r w:rsidR="000F5AA2" w:rsidRPr="002D5DBE">
        <w:rPr>
          <w:rFonts w:ascii="Times New Roman" w:eastAsia="Times New Roman" w:hAnsi="Times New Roman" w:cs="Times New Roman"/>
          <w:b/>
          <w:sz w:val="32"/>
          <w:szCs w:val="32"/>
        </w:rPr>
        <w:t>едерального закона</w:t>
      </w: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 от 24.07.1998 №</w:t>
      </w:r>
      <w:r w:rsidR="00102D5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>124-ФЗ «Об основных гарантиях прав ребенка в Р</w:t>
      </w:r>
      <w:r w:rsidR="000F5AA2" w:rsidRPr="002D5DBE">
        <w:rPr>
          <w:rFonts w:ascii="Times New Roman" w:eastAsia="Times New Roman" w:hAnsi="Times New Roman" w:cs="Times New Roman"/>
          <w:b/>
          <w:sz w:val="32"/>
          <w:szCs w:val="32"/>
        </w:rPr>
        <w:t>оссийской Федерации»</w:t>
      </w: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 в</w:t>
      </w:r>
      <w:r w:rsidRPr="002D5DBE">
        <w:rPr>
          <w:rFonts w:ascii="Times New Roman" w:hAnsi="Times New Roman" w:cs="Times New Roman"/>
          <w:b/>
          <w:sz w:val="32"/>
          <w:szCs w:val="32"/>
        </w:rPr>
        <w:t xml:space="preserve"> целях повышения качества и безопасности отдыха и оздоровления детей </w:t>
      </w:r>
      <w:r w:rsidRPr="002D5DBE">
        <w:rPr>
          <w:rFonts w:ascii="Times New Roman" w:hAnsi="Times New Roman" w:cs="Times New Roman"/>
          <w:b/>
          <w:sz w:val="32"/>
          <w:szCs w:val="32"/>
          <w:u w:val="single"/>
        </w:rPr>
        <w:t>организация отдыха детей и их оздоровления обязана</w:t>
      </w:r>
      <w:r w:rsidRPr="002D5DBE">
        <w:rPr>
          <w:rFonts w:ascii="Times New Roman" w:hAnsi="Times New Roman" w:cs="Times New Roman"/>
          <w:b/>
          <w:sz w:val="32"/>
          <w:szCs w:val="32"/>
        </w:rPr>
        <w:t>:</w:t>
      </w:r>
    </w:p>
    <w:p w:rsidR="00D24641" w:rsidRPr="002D5DBE" w:rsidRDefault="00601898" w:rsidP="00BE6AE5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5DB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24641" w:rsidRPr="002D5DBE">
        <w:rPr>
          <w:rFonts w:ascii="Times New Roman" w:hAnsi="Times New Roman" w:cs="Times New Roman"/>
          <w:b/>
          <w:sz w:val="32"/>
          <w:szCs w:val="32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D24641" w:rsidRPr="002D5DBE" w:rsidRDefault="00601898" w:rsidP="00BE6AE5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5DB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24641" w:rsidRPr="002D5DBE">
        <w:rPr>
          <w:rFonts w:ascii="Times New Roman" w:hAnsi="Times New Roman" w:cs="Times New Roman"/>
          <w:b/>
          <w:sz w:val="32"/>
          <w:szCs w:val="32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356243" w:rsidRDefault="00430658" w:rsidP="00BE6AE5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5DBE">
        <w:rPr>
          <w:rFonts w:ascii="Times New Roman" w:hAnsi="Times New Roman" w:cs="Times New Roman"/>
          <w:b/>
          <w:sz w:val="32"/>
          <w:szCs w:val="32"/>
        </w:rPr>
        <w:t>П</w:t>
      </w:r>
      <w:r w:rsidR="00356243" w:rsidRPr="002D5DBE">
        <w:rPr>
          <w:rFonts w:ascii="Times New Roman" w:hAnsi="Times New Roman" w:cs="Times New Roman"/>
          <w:b/>
          <w:sz w:val="32"/>
          <w:szCs w:val="32"/>
        </w:rPr>
        <w:t>оложениями ст.4 Закона Российской Федерации «О защите прав потребителей»</w:t>
      </w:r>
      <w:r w:rsidR="00102D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5DBE">
        <w:rPr>
          <w:rFonts w:ascii="Times New Roman" w:hAnsi="Times New Roman" w:cs="Times New Roman"/>
          <w:b/>
          <w:sz w:val="32"/>
          <w:szCs w:val="32"/>
        </w:rPr>
        <w:t xml:space="preserve">также </w:t>
      </w:r>
      <w:r w:rsidR="00572CDA" w:rsidRPr="002D5DBE">
        <w:rPr>
          <w:rFonts w:ascii="Times New Roman" w:hAnsi="Times New Roman" w:cs="Times New Roman"/>
          <w:b/>
          <w:sz w:val="32"/>
          <w:szCs w:val="32"/>
        </w:rPr>
        <w:t>закреплено, что услуга, оказываемая по возмездно</w:t>
      </w:r>
      <w:r w:rsidR="00102D55">
        <w:rPr>
          <w:rFonts w:ascii="Times New Roman" w:hAnsi="Times New Roman" w:cs="Times New Roman"/>
          <w:b/>
          <w:sz w:val="32"/>
          <w:szCs w:val="32"/>
        </w:rPr>
        <w:t>му договору, помимо соответствия</w:t>
      </w:r>
      <w:r w:rsidR="00572CDA" w:rsidRPr="002D5DBE">
        <w:rPr>
          <w:rFonts w:ascii="Times New Roman" w:hAnsi="Times New Roman" w:cs="Times New Roman"/>
          <w:b/>
          <w:sz w:val="32"/>
          <w:szCs w:val="32"/>
        </w:rPr>
        <w:t xml:space="preserve"> по качеству условиям договора, обычным или заявленным целям ее приобретения, должна соответствовать обязательным требованиям, в данном случае</w:t>
      </w:r>
      <w:r w:rsidR="00356243" w:rsidRPr="002D5DBE">
        <w:rPr>
          <w:rFonts w:ascii="Times New Roman" w:hAnsi="Times New Roman" w:cs="Times New Roman"/>
          <w:b/>
          <w:sz w:val="32"/>
          <w:szCs w:val="32"/>
        </w:rPr>
        <w:t xml:space="preserve"> требов</w:t>
      </w:r>
      <w:r w:rsidR="00102D55">
        <w:rPr>
          <w:rFonts w:ascii="Times New Roman" w:hAnsi="Times New Roman" w:cs="Times New Roman"/>
          <w:b/>
          <w:sz w:val="32"/>
          <w:szCs w:val="32"/>
        </w:rPr>
        <w:t>аниям</w:t>
      </w:r>
      <w:r w:rsidR="00356243" w:rsidRPr="002D5DBE">
        <w:rPr>
          <w:rFonts w:ascii="Times New Roman" w:hAnsi="Times New Roman" w:cs="Times New Roman"/>
          <w:b/>
          <w:sz w:val="32"/>
          <w:szCs w:val="32"/>
        </w:rPr>
        <w:t xml:space="preserve"> Федерального закона от 30.03.1999 № 52-ФЗ «О санитарно-эпидемиологическом благополучии населения»</w:t>
      </w:r>
      <w:r w:rsidR="00102D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6243" w:rsidRPr="002D5DBE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102D55">
        <w:rPr>
          <w:rFonts w:ascii="Times New Roman" w:hAnsi="Times New Roman" w:cs="Times New Roman"/>
          <w:b/>
          <w:sz w:val="32"/>
          <w:szCs w:val="32"/>
        </w:rPr>
        <w:t>СанПиН</w:t>
      </w:r>
      <w:r w:rsidR="00356243" w:rsidRPr="002D5DBE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1370DC" w:rsidRPr="002D5DBE">
        <w:rPr>
          <w:rFonts w:ascii="Times New Roman" w:hAnsi="Times New Roman" w:cs="Times New Roman"/>
          <w:b/>
          <w:sz w:val="32"/>
          <w:szCs w:val="32"/>
        </w:rPr>
        <w:t>.4.4.3155-13 «Санитарно-эпидеми</w:t>
      </w:r>
      <w:r w:rsidR="00356243" w:rsidRPr="002D5DBE">
        <w:rPr>
          <w:rFonts w:ascii="Times New Roman" w:hAnsi="Times New Roman" w:cs="Times New Roman"/>
          <w:b/>
          <w:sz w:val="32"/>
          <w:szCs w:val="32"/>
        </w:rPr>
        <w:t xml:space="preserve">ологические требования к устройству, содержанию </w:t>
      </w:r>
      <w:r w:rsidR="00356243" w:rsidRPr="002D5DBE">
        <w:rPr>
          <w:rFonts w:ascii="Times New Roman" w:hAnsi="Times New Roman" w:cs="Times New Roman"/>
          <w:b/>
          <w:sz w:val="32"/>
          <w:szCs w:val="32"/>
        </w:rPr>
        <w:lastRenderedPageBreak/>
        <w:t>и организации работы стационарных организаций отдыха и оздоровления детей».</w:t>
      </w:r>
    </w:p>
    <w:p w:rsidR="00F75C54" w:rsidRPr="002D5DBE" w:rsidRDefault="00F75C54" w:rsidP="00BE6AE5">
      <w:pPr>
        <w:autoSpaceDE w:val="0"/>
        <w:autoSpaceDN w:val="0"/>
        <w:adjustRightInd w:val="0"/>
        <w:spacing w:after="0" w:line="12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1586" w:rsidRDefault="001370DC" w:rsidP="00961586">
      <w:pPr>
        <w:pStyle w:val="a3"/>
        <w:spacing w:after="0" w:line="216" w:lineRule="auto"/>
        <w:jc w:val="center"/>
        <w:rPr>
          <w:b/>
          <w:color w:val="7030A0"/>
          <w:sz w:val="44"/>
          <w:szCs w:val="44"/>
        </w:rPr>
      </w:pPr>
      <w:r w:rsidRPr="00961586">
        <w:rPr>
          <w:b/>
          <w:color w:val="7030A0"/>
          <w:sz w:val="44"/>
          <w:szCs w:val="44"/>
        </w:rPr>
        <w:t>Если причинен вред здоровью</w:t>
      </w:r>
    </w:p>
    <w:p w:rsidR="001370DC" w:rsidRPr="00961586" w:rsidRDefault="001370DC" w:rsidP="00961586">
      <w:pPr>
        <w:pStyle w:val="a3"/>
        <w:spacing w:after="0" w:line="216" w:lineRule="auto"/>
        <w:jc w:val="center"/>
        <w:rPr>
          <w:b/>
          <w:color w:val="7030A0"/>
          <w:sz w:val="44"/>
          <w:szCs w:val="44"/>
        </w:rPr>
      </w:pPr>
      <w:r w:rsidRPr="00961586">
        <w:rPr>
          <w:b/>
          <w:color w:val="7030A0"/>
          <w:sz w:val="44"/>
          <w:szCs w:val="44"/>
        </w:rPr>
        <w:t>в</w:t>
      </w:r>
      <w:r w:rsidR="00F75C54" w:rsidRPr="00961586">
        <w:rPr>
          <w:b/>
          <w:color w:val="7030A0"/>
          <w:sz w:val="44"/>
          <w:szCs w:val="44"/>
        </w:rPr>
        <w:t xml:space="preserve"> детском оздоровительном лагере</w:t>
      </w:r>
    </w:p>
    <w:p w:rsidR="00F75C54" w:rsidRPr="002D5DBE" w:rsidRDefault="00F75C54" w:rsidP="00BE6AE5">
      <w:pPr>
        <w:pStyle w:val="a3"/>
        <w:spacing w:after="0" w:line="120" w:lineRule="auto"/>
        <w:ind w:firstLine="567"/>
        <w:rPr>
          <w:b/>
          <w:color w:val="FF0000"/>
          <w:sz w:val="32"/>
          <w:szCs w:val="32"/>
        </w:rPr>
      </w:pPr>
    </w:p>
    <w:p w:rsidR="00D24641" w:rsidRPr="002D5DBE" w:rsidRDefault="00961586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961586">
        <w:rPr>
          <w:rFonts w:ascii="Arial" w:eastAsia="Calibri" w:hAnsi="Arial" w:cs="Arial"/>
          <w:noProof/>
          <w:color w:val="7030A0"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4104005</wp:posOffset>
            </wp:positionH>
            <wp:positionV relativeFrom="margin">
              <wp:posOffset>1544955</wp:posOffset>
            </wp:positionV>
            <wp:extent cx="2638425" cy="1762760"/>
            <wp:effectExtent l="0" t="0" r="0" b="0"/>
            <wp:wrapSquare wrapText="bothSides"/>
            <wp:docPr id="2" name="Рисунок 2" descr="https://im0-tub-ru.yandex.net/i?id=d44995ae8a2768a2919d6370931d4d67&amp;n=33&amp;h=190&amp;w=28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44995ae8a2768a2919d6370931d4d67&amp;n=33&amp;h=190&amp;w=28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1C7"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К сожалению, с</w:t>
      </w:r>
      <w:r w:rsidR="00D24641"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лучаи причинения вреда здоровью ребенка (травма, отравление и др.) во время его пребывания в </w:t>
      </w:r>
      <w:r w:rsidR="005E71C7" w:rsidRPr="002D5DBE">
        <w:rPr>
          <w:rFonts w:ascii="Times New Roman" w:hAnsi="Times New Roman" w:cs="Times New Roman"/>
          <w:b/>
          <w:sz w:val="32"/>
          <w:szCs w:val="32"/>
        </w:rPr>
        <w:t>детском оздоровительном лагере</w:t>
      </w:r>
      <w:r w:rsidR="00D24641"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не редкость. </w:t>
      </w:r>
    </w:p>
    <w:p w:rsidR="00D24641" w:rsidRPr="002D5DBE" w:rsidRDefault="00D24641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Отправляя ребенка в детский оздоровительный лагерь, родители заключают договор об оказании услуг с организацией, в соответствии с которым </w:t>
      </w:r>
      <w:r w:rsidR="000F0E34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исполнитель </w:t>
      </w: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принимает на себя обязательства по обеспечению не только досуга ребенка,  но и по обеспечению мер безопасности ребенка на территории лагеря  и предотвращению нарушения детьми установленных мер безопасности. </w:t>
      </w:r>
    </w:p>
    <w:p w:rsidR="00D24641" w:rsidRPr="002D5DBE" w:rsidRDefault="00D24641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Если на территории лагеря, в котором отдыхал ребенок, причинен вред </w:t>
      </w:r>
      <w:r w:rsidR="004A59DF"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его </w:t>
      </w: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здоровью (травма, отравление и др.) вследствие отсутствия надлежащего присмотра за детьми, организации досуга и отдыха детей с нарушением правил безопасности и/или вследствие иного рода ненадлежащего оказания детским санаторием (лагерем) услуг, то на данную организацию, согласно ст.1095 Г</w:t>
      </w:r>
      <w:r w:rsidR="001370DC"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ражданского </w:t>
      </w: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К</w:t>
      </w:r>
      <w:r w:rsidR="001370DC"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одекса</w:t>
      </w: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 РФ и ст. 14 </w:t>
      </w:r>
      <w:r w:rsidRPr="002D5DBE">
        <w:rPr>
          <w:rFonts w:ascii="Times New Roman" w:hAnsi="Times New Roman" w:cs="Times New Roman"/>
          <w:b/>
          <w:sz w:val="32"/>
          <w:szCs w:val="32"/>
        </w:rPr>
        <w:t xml:space="preserve">Закона </w:t>
      </w:r>
      <w:r w:rsidR="008D4CBF">
        <w:rPr>
          <w:rFonts w:ascii="Times New Roman" w:hAnsi="Times New Roman" w:cs="Times New Roman"/>
          <w:b/>
          <w:sz w:val="32"/>
          <w:szCs w:val="32"/>
        </w:rPr>
        <w:t xml:space="preserve">Российской Федерации </w:t>
      </w:r>
      <w:r w:rsidRPr="002D5DBE">
        <w:rPr>
          <w:rFonts w:ascii="Times New Roman" w:hAnsi="Times New Roman" w:cs="Times New Roman"/>
          <w:b/>
          <w:sz w:val="32"/>
          <w:szCs w:val="32"/>
        </w:rPr>
        <w:t>«О защите прав потребителей»</w:t>
      </w: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, возлагается ответственность из причинения вреда вследствие недостатков услуг. </w:t>
      </w:r>
    </w:p>
    <w:p w:rsidR="008D4CBF" w:rsidRDefault="00D24641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За неисполнение сотрудниками лагеря обязанностей по присмотру за детьми отвечать придется непосредственно лагерю. Ст. 1068 Гражданского кодекса РФ гласит, что вред, причиненный работником при исполнении трудовых обязанностей, возмещает работодатель. Поэтому в данном случае именно организация (лагерь) должна возместить родителям расходы на лечение ребенка и другие дополнительные расходы. </w:t>
      </w:r>
    </w:p>
    <w:p w:rsidR="00D24641" w:rsidRPr="002D5DBE" w:rsidRDefault="00D24641" w:rsidP="000F0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В ст.1084 </w:t>
      </w:r>
      <w:r w:rsidR="001370DC"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Гражданского кодекса </w:t>
      </w: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РФ предусмотрено, что вред, причиненный жизни и здоровью гражданина при исполнении договорных обязательств возмещается по правилам, предусмотренным главой 59 «Обязательства вследствие причинения вреда» </w:t>
      </w:r>
      <w:r w:rsidR="001370DC"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Гражданского кодекса РФ</w:t>
      </w: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, если законом или договором не предусмотрен более высокий размер ответственности.</w:t>
      </w:r>
      <w:r w:rsidR="000F0E34" w:rsidRPr="000F0E3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D24641" w:rsidRPr="002D5DBE" w:rsidRDefault="00D24641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</w:pP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Пункт 1 ст. 1085 </w:t>
      </w:r>
      <w:r w:rsidR="001370DC"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Гражданского кодекса </w:t>
      </w: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РФ относит к расходам, вызванным повреждением здоровья: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 и иные дополнительные расходы. </w:t>
      </w: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lastRenderedPageBreak/>
        <w:t>При этом, в соответствии с п. 27 Постановления Пленума Верховного Суда РФ от 26 января 2010 № 1</w:t>
      </w:r>
      <w:r w:rsidRPr="002D5DBE">
        <w:rPr>
          <w:rFonts w:ascii="Times New Roman" w:hAnsi="Times New Roman" w:cs="Times New Roman"/>
          <w:b/>
          <w:sz w:val="32"/>
          <w:szCs w:val="32"/>
        </w:rPr>
        <w:t>«</w:t>
      </w:r>
      <w:r w:rsidR="00DC5ED0" w:rsidRPr="002D5DBE">
        <w:rPr>
          <w:rFonts w:ascii="Times New Roman" w:hAnsi="Times New Roman" w:cs="Times New Roman"/>
          <w:b/>
          <w:sz w:val="32"/>
          <w:szCs w:val="32"/>
        </w:rPr>
        <w:t>О применении судами гражданского законодательства, регулирующего отношения по обязательствам вследствие причинения вреда жизни и здоровью гражданина»</w:t>
      </w:r>
      <w:r w:rsidR="000F0E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>расходы на лечение и иные дополнительные расходы подлежат возмещению причинителем вреда, если будет установлено, что ребенок нуждается в этих видах помощи и ухода и не имеет права на их бесплатное получение. Однако если ребенок, нуждающийся в указанных видах помощи и имеющий право на их бесплатное получение, фактически был лишен возможности получить такую помощь качественно и своевременно, суд вправе взыскать с лагеря (ответчика по делу) фактически понесенные (и документально подтвержденные) родителями расходы.</w:t>
      </w:r>
    </w:p>
    <w:p w:rsidR="00D24641" w:rsidRPr="002D5DBE" w:rsidRDefault="00D24641" w:rsidP="00BE6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В силу ст. 1098 </w:t>
      </w:r>
      <w:r w:rsidR="00CB51AB" w:rsidRPr="002D5DBE">
        <w:rPr>
          <w:rFonts w:ascii="Times New Roman" w:eastAsia="Times New Roman" w:hAnsi="Times New Roman" w:cs="Times New Roman"/>
          <w:b/>
          <w:color w:val="1A1A1A"/>
          <w:sz w:val="32"/>
          <w:szCs w:val="32"/>
        </w:rPr>
        <w:t xml:space="preserve">Гражданского кодекса РФ </w:t>
      </w: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бремя доказывания обстоятельств, освобождающих от ответственности за причинение вреда, вследствие недостатков услуги лежит на исполнителе, которому предъявлено соответствующее требование. Исполнитель освобождается от ответственности, </w:t>
      </w:r>
      <w:r w:rsidRPr="002D5D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если докажет, что вред возник вследствие непреодолимой силы или нарушения потребителем правил пользования результатами услуги.</w:t>
      </w:r>
    </w:p>
    <w:p w:rsidR="00674828" w:rsidRPr="002D5DBE" w:rsidRDefault="00674828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>Как действовать родителям, если ребенку был причинен вред?</w:t>
      </w:r>
    </w:p>
    <w:p w:rsidR="00674828" w:rsidRPr="002D5DBE" w:rsidRDefault="00674828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>1. Убедиться, что вред причинен не вследствие непреодолимой силы или нарушения ребенком установленных правил.</w:t>
      </w:r>
    </w:p>
    <w:p w:rsidR="00674828" w:rsidRPr="002D5DBE" w:rsidRDefault="00674828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>2. Собрать доказательства причинения вреда вследствие оказания услуги ненадлежащего качества или не соответствующей установленным требованиям (медицинские справки, выписки и т.п.).</w:t>
      </w:r>
    </w:p>
    <w:p w:rsidR="00674828" w:rsidRPr="002D5DBE" w:rsidRDefault="00674828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>3. Собрать документальное подтверждение понесенных расходов и убытков.</w:t>
      </w:r>
    </w:p>
    <w:p w:rsidR="00674828" w:rsidRPr="002D5DBE" w:rsidRDefault="00674828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4. Обратиться с письменной претензией в адрес </w:t>
      </w:r>
      <w:r w:rsidR="00CC4264" w:rsidRPr="002D5DBE">
        <w:rPr>
          <w:rFonts w:ascii="Times New Roman" w:eastAsia="Times New Roman" w:hAnsi="Times New Roman" w:cs="Times New Roman"/>
          <w:b/>
          <w:sz w:val="32"/>
          <w:szCs w:val="32"/>
        </w:rPr>
        <w:t>лагеря</w:t>
      </w: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>. В претензии необходимо указать какой вред причинен и сформулировать свои требования. Претензию необходимо вручить лично под роспись, либо направит</w:t>
      </w:r>
      <w:r w:rsidR="00CB51AB" w:rsidRPr="002D5DBE">
        <w:rPr>
          <w:rFonts w:ascii="Times New Roman" w:eastAsia="Times New Roman" w:hAnsi="Times New Roman" w:cs="Times New Roman"/>
          <w:b/>
          <w:sz w:val="32"/>
          <w:szCs w:val="32"/>
        </w:rPr>
        <w:t>ь</w:t>
      </w: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 заказным письмом с уведомлением</w:t>
      </w:r>
      <w:r w:rsidR="00CB51AB"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 и описью вложения</w:t>
      </w: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>. В претензии также необходимо установить разумный срок для выполнения заявленных требований.</w:t>
      </w:r>
    </w:p>
    <w:p w:rsidR="00CB51AB" w:rsidRPr="002D5DBE" w:rsidRDefault="00961586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5C54">
        <w:rPr>
          <w:rFonts w:ascii="Arial" w:eastAsia="Calibri" w:hAnsi="Arial" w:cs="Arial"/>
          <w:noProof/>
          <w:color w:val="0000FF"/>
          <w:sz w:val="2"/>
          <w:szCs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4154805</wp:posOffset>
            </wp:positionH>
            <wp:positionV relativeFrom="margin">
              <wp:posOffset>7888605</wp:posOffset>
            </wp:positionV>
            <wp:extent cx="2609850" cy="1938655"/>
            <wp:effectExtent l="0" t="0" r="0" b="0"/>
            <wp:wrapSquare wrapText="bothSides"/>
            <wp:docPr id="3" name="Рисунок 3" descr="https://im0-tub-ru.yandex.net/i?id=a139434d92675002062220a82360cffa&amp;n=33&amp;h=190&amp;w=29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139434d92675002062220a82360cffa&amp;n=33&amp;h=190&amp;w=29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828"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5. В случае отсутствия ответа на претензию, либо невыполнения заявленных требований в полном объеме, следует обратиться в суд с соответствующим исковым заявлением. </w:t>
      </w:r>
    </w:p>
    <w:p w:rsidR="00674828" w:rsidRDefault="00674828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Таким образом, детский </w:t>
      </w:r>
      <w:r w:rsidR="00CB51AB" w:rsidRPr="002D5DBE">
        <w:rPr>
          <w:rFonts w:ascii="Times New Roman" w:eastAsia="Times New Roman" w:hAnsi="Times New Roman" w:cs="Times New Roman"/>
          <w:b/>
          <w:sz w:val="32"/>
          <w:szCs w:val="32"/>
        </w:rPr>
        <w:t>оздоровительный л</w:t>
      </w:r>
      <w:r w:rsidRPr="002D5DBE">
        <w:rPr>
          <w:rFonts w:ascii="Times New Roman" w:eastAsia="Times New Roman" w:hAnsi="Times New Roman" w:cs="Times New Roman"/>
          <w:b/>
          <w:sz w:val="32"/>
          <w:szCs w:val="32"/>
        </w:rPr>
        <w:t xml:space="preserve">агерь обязан возместить в полном объеме вред, причиненный жизни или здоровью ребенка вследствие ненадлежащего оказания услуг по организации отдыха детей, включая расходы на лечение, иные дополнительные расходы, а также компенсировать причиненный моральный вред. </w:t>
      </w:r>
    </w:p>
    <w:p w:rsidR="00D27BBB" w:rsidRPr="002D5DBE" w:rsidRDefault="00D27BBB" w:rsidP="00BE6AE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ФБУЗ «Центр гигиены и эпидемиологии в Алтайском крае» </w:t>
      </w:r>
      <w:bookmarkStart w:id="0" w:name="_GoBack"/>
      <w:bookmarkEnd w:id="0"/>
    </w:p>
    <w:sectPr w:rsidR="00D27BBB" w:rsidRPr="002D5DBE" w:rsidSect="00961586">
      <w:pgSz w:w="11906" w:h="16838"/>
      <w:pgMar w:top="567" w:right="566" w:bottom="567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168A3"/>
    <w:multiLevelType w:val="hybridMultilevel"/>
    <w:tmpl w:val="1F4AC492"/>
    <w:lvl w:ilvl="0" w:tplc="A636F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20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C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A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E88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69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E1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21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641"/>
    <w:rsid w:val="00033C9D"/>
    <w:rsid w:val="000F0E34"/>
    <w:rsid w:val="000F5AA2"/>
    <w:rsid w:val="00102D55"/>
    <w:rsid w:val="001370DC"/>
    <w:rsid w:val="00217DDF"/>
    <w:rsid w:val="00234872"/>
    <w:rsid w:val="002D5DBE"/>
    <w:rsid w:val="002F0F89"/>
    <w:rsid w:val="00327577"/>
    <w:rsid w:val="00356243"/>
    <w:rsid w:val="00375E88"/>
    <w:rsid w:val="00384C3A"/>
    <w:rsid w:val="003A2B18"/>
    <w:rsid w:val="00430658"/>
    <w:rsid w:val="004544BC"/>
    <w:rsid w:val="00466E98"/>
    <w:rsid w:val="00497C0A"/>
    <w:rsid w:val="004A59DF"/>
    <w:rsid w:val="00546287"/>
    <w:rsid w:val="00572CDA"/>
    <w:rsid w:val="005C6F8C"/>
    <w:rsid w:val="005E71C7"/>
    <w:rsid w:val="00601898"/>
    <w:rsid w:val="00635FA6"/>
    <w:rsid w:val="00674828"/>
    <w:rsid w:val="007034B9"/>
    <w:rsid w:val="00744A58"/>
    <w:rsid w:val="008A0F06"/>
    <w:rsid w:val="008C4901"/>
    <w:rsid w:val="008D4CBF"/>
    <w:rsid w:val="00961586"/>
    <w:rsid w:val="00B85630"/>
    <w:rsid w:val="00BE67F4"/>
    <w:rsid w:val="00BE6AE5"/>
    <w:rsid w:val="00BF1EBB"/>
    <w:rsid w:val="00CB51AB"/>
    <w:rsid w:val="00CC4264"/>
    <w:rsid w:val="00CF394C"/>
    <w:rsid w:val="00D24641"/>
    <w:rsid w:val="00D27BBB"/>
    <w:rsid w:val="00DC5ED0"/>
    <w:rsid w:val="00DE2FE2"/>
    <w:rsid w:val="00E95837"/>
    <w:rsid w:val="00EC4DF1"/>
    <w:rsid w:val="00F03C64"/>
    <w:rsid w:val="00F71E67"/>
    <w:rsid w:val="00F75C54"/>
    <w:rsid w:val="00FB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475AB-083E-4F87-A7E8-60E4586A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641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46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328">
          <w:marLeft w:val="3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=1&amp;text=%D0%BA%D0%B0%D1%80%D1%82%D0%B8%D0%BD%D0%BA%D0%B8%20%D0%B4%D0%B5%D1%82%D1%81%D0%BA%D0%B8%D0%B9%20%D0%BB%D0%B0%D0%B3%D0%B5%D1%80%D1%8C%20%D0%B1%D0%B0%D1%81%D1%81%D0%B5%D0%B9%D0%BD&amp;img_url=http://trassae95.com/images/53/big/53676-25-detej-pereselencev-poedut-iz-odessy-na-ozdorovlenie-v-germaniyu-big.jpg&amp;pos=47&amp;rpt=sim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source=wiz&amp;img_url=http://lomonpansion.com/img/articles_upload/20160707_125124.jpg&amp;text=%D0%BA%D0%B0%D1%80%D1%82%D0%B8%D0%BD%D0%BA%D0%B8%20%D0%B4%D0%B5%D1%82%D1%81%D0%BA%D0%B8%D0%B9%20%D0%BB%D0%B0%D0%B3%D0%B5%D1%80%D1%8C&amp;noreask=1&amp;pos=25&amp;lr=197&amp;rpt=simag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source=wiz&amp;img_url=http://martinconnects.net/Camp/sites/default/files/gallery-1-image/176_615964-W.jpg&amp;text=%D0%BA%D0%B0%D1%80%D1%82%D0%B8%D0%BD%D0%BA%D0%B8%20%D0%B4%D0%B5%D1%82%D1%81%D0%BA%D0%B8%D0%B9%20%D0%BB%D0%B0%D0%B3%D0%B5%D1%80%D1%8C&amp;noreask=1&amp;pos=11&amp;lr=197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44F6-9387-4B5F-8D24-2D64F8C5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ukcentr_11</dc:creator>
  <cp:keywords/>
  <dc:description/>
  <cp:lastModifiedBy>User</cp:lastModifiedBy>
  <cp:revision>19</cp:revision>
  <dcterms:created xsi:type="dcterms:W3CDTF">2017-05-15T04:03:00Z</dcterms:created>
  <dcterms:modified xsi:type="dcterms:W3CDTF">2017-06-01T03:24:00Z</dcterms:modified>
</cp:coreProperties>
</file>